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015435 Russian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aims of the academic course are: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develop and enhance foreign students' skills and abilities in oral and written communication within a Russian language environment;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adjust existing language and speech knowledge and skills;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- to overcome linguistic and cultural interference, which in turn contributes to the formation of linguistic, communicative, socio-cultural and discursive competencies in general, socio-cultural and educational spheres of the Russian language functioning.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057625 Russian for Intercultural Communication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aims of the academic course are: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form understanding of the basics of intercultural communication and Russian and other cultures;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enhance knowledge about the features of speech and communicative behavior of representatives of Russian culture;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introduce the difficulties representatives of different cultures encounter in building intercultural understanding and ways to overcome them. 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Objectives of the course: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introduce traditional Russian culture and its place in the system of modern culture;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trace the relationship between traditional and modern cultures;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give students an idea of the everyday culture of Russian people;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demonstrate how traditional culture and etiquette influence the communicative behavior of Russians;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develop the ability to consider the whole complex of cultural and historical elements in the analysis of individual phenomena and facts of Russian culture;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cultivate a culture of tolerance and respect for other national cultures</w:t>
      </w:r>
      <w:r w:rsidR="002405C8" w:rsidRPr="002405C8">
        <w:rPr>
          <w:rFonts w:ascii="Times New Roman" w:hAnsi="Times New Roman" w:cs="Times New Roman"/>
          <w:lang w:val="en-GB"/>
        </w:rPr>
        <w:t xml:space="preserve"> </w:t>
      </w:r>
      <w:r w:rsidR="002405C8">
        <w:rPr>
          <w:rFonts w:ascii="Times New Roman" w:hAnsi="Times New Roman" w:cs="Times New Roman"/>
          <w:lang w:val="en-US"/>
        </w:rPr>
        <w:t>too</w:t>
      </w:r>
      <w:r>
        <w:rPr>
          <w:rFonts w:ascii="Times New Roman" w:hAnsi="Times New Roman" w:cs="Times New Roman"/>
          <w:lang w:val="en-US"/>
        </w:rPr>
        <w:t xml:space="preserve">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learn how to apply the acquired skills and abilities in cross-linguistic and intercultural communication;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introduce the peculiarities of communicative behavior in different countries and different spheres of public life;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develop the knowledge of the national peculiarities of speech and communicative behavior of representatives of different cultures (European, Eastern, American and Russian).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057624 Academic Russian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course is designed to provide the formation and improvement of language and socio-cultural competence of the students through the study of the fundamentals of history, culture, geography, </w:t>
      </w:r>
      <w:proofErr w:type="gramStart"/>
      <w:r>
        <w:rPr>
          <w:rFonts w:ascii="Times New Roman" w:hAnsi="Times New Roman" w:cs="Times New Roman"/>
          <w:lang w:val="en-US"/>
        </w:rPr>
        <w:t>and  political</w:t>
      </w:r>
      <w:proofErr w:type="gramEnd"/>
      <w:r>
        <w:rPr>
          <w:rFonts w:ascii="Times New Roman" w:hAnsi="Times New Roman" w:cs="Times New Roman"/>
          <w:lang w:val="en-US"/>
        </w:rPr>
        <w:t xml:space="preserve"> characteristics of the Russian Federation.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main objectives of the course are: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provide basic knowledge of the history, geography and political structure of Russia;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overcome language difficulties hampering  the reception of information pertaining to area studies; 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to improve the skills of </w:t>
      </w:r>
      <w:proofErr w:type="spellStart"/>
      <w:r>
        <w:rPr>
          <w:rFonts w:ascii="Times New Roman" w:hAnsi="Times New Roman" w:cs="Times New Roman"/>
          <w:lang w:val="en-US"/>
        </w:rPr>
        <w:t>monologic</w:t>
      </w:r>
      <w:proofErr w:type="spellEnd"/>
      <w:r>
        <w:rPr>
          <w:rFonts w:ascii="Times New Roman" w:hAnsi="Times New Roman" w:cs="Times New Roman"/>
          <w:lang w:val="en-US"/>
        </w:rPr>
        <w:t xml:space="preserve"> speech, the ability to express one’s thoughts using a variety of language tools;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activate skills of listening comprehension and speaking on social and political topics;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develop skills of using lexical units and syntactic constructions of journalistic style;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show the need to use operational news information from different types of media;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introduce different points of view of modern Russian political scientists.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mastering this course, interactive forms of training (such as round table discussions and working in mini-groups) are used.</w:t>
      </w:r>
    </w:p>
    <w:p w:rsidR="00CB7479" w:rsidRDefault="00DB70CA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programme includes the basic requirements for the knowledge of language and communicative competence in the field of grammar and speaking, guidelines for the </w:t>
      </w:r>
      <w:proofErr w:type="spellStart"/>
      <w:r>
        <w:rPr>
          <w:rFonts w:ascii="Times New Roman" w:hAnsi="Times New Roman" w:cs="Times New Roman"/>
          <w:lang w:val="en-US"/>
        </w:rPr>
        <w:t>organisation</w:t>
      </w:r>
      <w:proofErr w:type="spellEnd"/>
      <w:r>
        <w:rPr>
          <w:rFonts w:ascii="Times New Roman" w:hAnsi="Times New Roman" w:cs="Times New Roman"/>
          <w:lang w:val="en-US"/>
        </w:rPr>
        <w:t xml:space="preserve"> of the educational process and the final control. The development of the programme allows the student to form a communicative competence provided by own standard of St Petersburg University.</w:t>
      </w:r>
    </w:p>
    <w:p w:rsidR="00CB7479" w:rsidRDefault="00CB7479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sectPr w:rsidR="00CB7479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9"/>
    <w:rsid w:val="002405C8"/>
    <w:rsid w:val="00435DCC"/>
    <w:rsid w:val="009534D4"/>
    <w:rsid w:val="00CB7479"/>
    <w:rsid w:val="00D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Анна Михайловна</dc:creator>
  <cp:lastModifiedBy>Породина Анна Васильевна</cp:lastModifiedBy>
  <cp:revision>2</cp:revision>
  <dcterms:created xsi:type="dcterms:W3CDTF">2019-03-12T17:05:00Z</dcterms:created>
  <dcterms:modified xsi:type="dcterms:W3CDTF">2019-03-12T17:05:00Z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